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tl w:val="0"/>
        </w:rPr>
      </w:r>
    </w:p>
    <w:tbl>
      <w:tblPr>
        <w:tblStyle w:val="Table1"/>
        <w:tblW w:w="9781.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1"/>
        <w:tblGridChange w:id="0">
          <w:tblGrid>
            <w:gridCol w:w="9781"/>
          </w:tblGrid>
        </w:tblGridChange>
      </w:tblGrid>
      <w:tr>
        <w:trPr>
          <w:cantSplit w:val="0"/>
          <w:tblHeader w:val="0"/>
        </w:trPr>
        <w:tc>
          <w:tcPr/>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Lao People’s Democratic</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Peace Independence Democracy Unity Prosperity</w:t>
            </w:r>
          </w:p>
          <w:p w:rsidR="00000000" w:rsidDel="00000000" w:rsidP="00000000" w:rsidRDefault="00000000" w:rsidRPr="00000000" w14:paraId="0000000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0"/>
                <w:szCs w:val="20"/>
              </w:rPr>
            </w:pPr>
            <w:r w:rsidDel="00000000" w:rsidR="00000000" w:rsidRPr="00000000">
              <w:rPr>
                <w:rtl w:val="0"/>
              </w:rPr>
            </w:r>
          </w:p>
          <w:tbl>
            <w:tblPr>
              <w:tblStyle w:val="Table2"/>
              <w:tblW w:w="8696.0" w:type="dxa"/>
              <w:jc w:val="left"/>
              <w:tblInd w:w="16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48"/>
              <w:gridCol w:w="4348"/>
              <w:tblGridChange w:id="0">
                <w:tblGrid>
                  <w:gridCol w:w="4348"/>
                  <w:gridCol w:w="4348"/>
                </w:tblGrid>
              </w:tblGridChange>
            </w:tblGrid>
            <w:tr>
              <w:trPr>
                <w:cantSplit w:val="0"/>
                <w:trHeight w:val="537" w:hRule="atLeast"/>
                <w:tblHeader w:val="0"/>
              </w:trPr>
              <w:tc>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KENFOX IP &amp; Law Office</w:t>
                  </w:r>
                </w:p>
                <w:p w:rsidR="00000000" w:rsidDel="00000000" w:rsidP="00000000" w:rsidRDefault="00000000" w:rsidRPr="00000000" w14:paraId="00000008">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No. ……./ ……….</w:t>
                  </w:r>
                </w:p>
                <w:p w:rsidR="00000000" w:rsidDel="00000000" w:rsidP="00000000" w:rsidRDefault="00000000" w:rsidRPr="00000000" w14:paraId="0000000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Vientiane Capital, dated ………………….</w:t>
                  </w:r>
                </w:p>
              </w:tc>
            </w:tr>
          </w:tbl>
          <w:p w:rsidR="00000000" w:rsidDel="00000000" w:rsidP="00000000" w:rsidRDefault="00000000" w:rsidRPr="00000000" w14:paraId="0000000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Application for customs recordal</w:t>
            </w:r>
          </w:p>
          <w:p w:rsidR="00000000" w:rsidDel="00000000" w:rsidP="00000000" w:rsidRDefault="00000000" w:rsidRPr="00000000" w14:paraId="0000000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ind w:left="3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Director of Customs Department</w:t>
            </w:r>
          </w:p>
          <w:p w:rsidR="00000000" w:rsidDel="00000000" w:rsidP="00000000" w:rsidRDefault="00000000" w:rsidRPr="00000000" w14:paraId="0000000F">
            <w:pPr>
              <w:ind w:left="3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Subject:       Request for provisional seizure the products</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74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the Tax Law No. 81/NA, dated 29 June 2020;</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74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the document (number, date) issued by the Customs Department regarding the recordal the information of intellectual property rights ownership (if any);</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74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Notification of the customs authorities who found goods that potential to infringe the Intellectual Property (if any).</w:t>
            </w:r>
          </w:p>
          <w:p w:rsidR="00000000" w:rsidDel="00000000" w:rsidP="00000000" w:rsidRDefault="00000000" w:rsidRPr="00000000" w14:paraId="00000014">
            <w:pPr>
              <w:ind w:right="74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right="74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74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KENFOX IP &amp; Law Office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behalf of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the trademark owner’s 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propose to the Customs Department to conduct </w:t>
            </w:r>
            <w:r w:rsidDel="00000000" w:rsidR="00000000" w:rsidRPr="00000000">
              <w:rPr>
                <w:rFonts w:ascii="Arial" w:cs="Arial" w:eastAsia="Arial" w:hAnsi="Arial"/>
                <w:sz w:val="20"/>
                <w:szCs w:val="20"/>
                <w:rtl w:val="0"/>
              </w:rPr>
              <w:t xml:space="preserve">provisional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seizure the goods before proceeding with the customs declaration procedure for the goods bearing the mark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the trademark 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(details of the target goods).</w:t>
            </w:r>
          </w:p>
          <w:p w:rsidR="00000000" w:rsidDel="00000000" w:rsidP="00000000" w:rsidRDefault="00000000" w:rsidRPr="00000000" w14:paraId="00000017">
            <w:pPr>
              <w:ind w:right="74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ind w:left="736" w:right="74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that the seized goods are confirmed to be infringing intellectual property rights, I request the Customs Department to take measures against the infringing goods according to relevant laws and regulations.</w:t>
            </w:r>
          </w:p>
          <w:p w:rsidR="00000000" w:rsidDel="00000000" w:rsidP="00000000" w:rsidRDefault="00000000" w:rsidRPr="00000000" w14:paraId="00000019">
            <w:pPr>
              <w:ind w:left="736" w:right="74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ind w:left="736" w:right="74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will compensate the damages and other costs caused by the failure of provisional seizure of the goods to the owner of the goods according to the relevant laws and regulations.</w:t>
            </w:r>
          </w:p>
          <w:p w:rsidR="00000000" w:rsidDel="00000000" w:rsidP="00000000" w:rsidRDefault="00000000" w:rsidRPr="00000000" w14:paraId="0000001B">
            <w:pPr>
              <w:ind w:left="736" w:right="74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736" w:right="74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deposit amount is ten million kip (10.000.000 kip) in cash form only.</w:t>
            </w:r>
          </w:p>
          <w:p w:rsidR="00000000" w:rsidDel="00000000" w:rsidP="00000000" w:rsidRDefault="00000000" w:rsidRPr="00000000" w14:paraId="0000001D">
            <w:pPr>
              <w:ind w:left="736" w:right="74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ind w:left="736" w:right="74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Therefore, it is proposed to you for proper consideration.</w:t>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tabs>
                <w:tab w:val="left" w:leader="none" w:pos="8819"/>
              </w:tabs>
              <w:ind w:right="737"/>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Applicant’s name, signature and seal</w:t>
            </w:r>
          </w:p>
          <w:p w:rsidR="00000000" w:rsidDel="00000000" w:rsidP="00000000" w:rsidRDefault="00000000" w:rsidRPr="00000000" w14:paraId="00000021">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jc w:val="righ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2B">
      <w:pPr>
        <w:spacing w:after="0" w:line="240" w:lineRule="auto"/>
        <w:jc w:val="both"/>
        <w:rPr>
          <w:rFonts w:ascii="Arial" w:cs="Arial" w:eastAsia="Arial" w:hAnsi="Arial"/>
          <w:sz w:val="20"/>
          <w:szCs w:val="20"/>
        </w:rPr>
      </w:pPr>
      <w:r w:rsidDel="00000000" w:rsidR="00000000" w:rsidRPr="00000000">
        <w:rPr>
          <w:rtl w:val="0"/>
        </w:rPr>
      </w:r>
    </w:p>
    <w:tbl>
      <w:tblPr>
        <w:tblStyle w:val="Table3"/>
        <w:tblW w:w="10632.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rHeight w:val="11698" w:hRule="atLeast"/>
          <w:tblHeader w:val="0"/>
        </w:trPr>
        <w:tc>
          <w:tcPr/>
          <w:p w:rsidR="00000000" w:rsidDel="00000000" w:rsidP="00000000" w:rsidRDefault="00000000" w:rsidRPr="00000000" w14:paraId="0000002C">
            <w:pPr>
              <w:ind w:left="426" w:right="324"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ind w:left="426" w:right="324"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Lao People's Democratic Republic</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324" w:firstLine="0"/>
              <w:jc w:val="center"/>
              <w:rPr>
                <w:rFonts w:ascii="Arial" w:cs="Arial" w:eastAsia="Arial" w:hAnsi="Arial"/>
                <w:b w:val="1"/>
                <w:i w:val="0"/>
                <w:smallCaps w:val="0"/>
                <w:strike w:val="0"/>
                <w:color w:val="221d00"/>
                <w:sz w:val="24"/>
                <w:szCs w:val="24"/>
                <w:u w:val="none"/>
                <w:shd w:fill="auto" w:val="clear"/>
                <w:vertAlign w:val="baseline"/>
              </w:rPr>
            </w:pPr>
            <w:r w:rsidDel="00000000" w:rsidR="00000000" w:rsidRPr="00000000">
              <w:rPr>
                <w:rFonts w:ascii="Arial" w:cs="Arial" w:eastAsia="Arial" w:hAnsi="Arial"/>
                <w:b w:val="1"/>
                <w:i w:val="0"/>
                <w:smallCaps w:val="0"/>
                <w:strike w:val="0"/>
                <w:color w:val="221d00"/>
                <w:sz w:val="24"/>
                <w:szCs w:val="24"/>
                <w:u w:val="none"/>
                <w:shd w:fill="auto" w:val="clear"/>
                <w:vertAlign w:val="baseline"/>
                <w:rtl w:val="0"/>
              </w:rPr>
              <w:t xml:space="preserve">Peace Independence Democracy Unity Prosperity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324" w:firstLine="0"/>
              <w:jc w:val="both"/>
              <w:rPr>
                <w:rFonts w:ascii="Arial" w:cs="Arial" w:eastAsia="Arial" w:hAnsi="Arial"/>
                <w:b w:val="0"/>
                <w:i w:val="0"/>
                <w:smallCaps w:val="0"/>
                <w:strike w:val="0"/>
                <w:color w:val="221d00"/>
                <w:sz w:val="20"/>
                <w:szCs w:val="20"/>
                <w:u w:val="none"/>
                <w:shd w:fill="auto" w:val="clear"/>
                <w:vertAlign w:val="baseline"/>
              </w:rPr>
            </w:pPr>
            <w:r w:rsidDel="00000000" w:rsidR="00000000" w:rsidRPr="00000000">
              <w:rPr>
                <w:rtl w:val="0"/>
              </w:rPr>
            </w:r>
          </w:p>
          <w:tbl>
            <w:tblPr>
              <w:tblStyle w:val="Table4"/>
              <w:tblW w:w="998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90"/>
              <w:gridCol w:w="4991"/>
              <w:tblGridChange w:id="0">
                <w:tblGrid>
                  <w:gridCol w:w="4990"/>
                  <w:gridCol w:w="4991"/>
                </w:tblGrid>
              </w:tblGridChange>
            </w:tblGrid>
            <w:tr>
              <w:trPr>
                <w:cantSplit w:val="0"/>
                <w:tblHeader w:val="0"/>
              </w:trPr>
              <w:tc>
                <w:tcPr/>
                <w:p w:rsidR="00000000" w:rsidDel="00000000" w:rsidP="00000000" w:rsidRDefault="00000000" w:rsidRPr="00000000" w14:paraId="0000003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KENFOX IP &amp; Law Office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32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32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32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Vientiane Capital, Date…………..</w:t>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324"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324"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5"/>
              <w:tblW w:w="104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8"/>
              <w:gridCol w:w="8378"/>
              <w:tblGridChange w:id="0">
                <w:tblGrid>
                  <w:gridCol w:w="2038"/>
                  <w:gridCol w:w="8378"/>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607"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Dear:</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6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 of Customs Department.</w:t>
                  </w:r>
                </w:p>
              </w:tc>
            </w:tr>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607"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Subject:</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6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Recordal Information of the ownership of Intellectual Property rights.</w:t>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6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5" w:right="607"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Customs Law No. 81/NA, dated June 29, 2020;</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5" w:right="607"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Intellectual Property Law, Edited version 38/NA, dated 15 November 2017;</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5" w:right="607"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Ministry of Finance instruction No. 0121/MOF. dated 13 January 2022 regarding to the Intellectual property rights enforcement of Customs officials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6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6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on behalf of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the trademark owner’s 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would like to propose to the Director of Customs Department for recordal information of ownership of intellectual property rights according to the Law and regulation of customs, which includes the details of intellectual property rights as below:</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6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607"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The applicant</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and Surname: </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 card or passport number:</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Fax:</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contact number: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61" w:right="6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607"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The owner of the rights</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and Surname (individual) or company name (legal entity):</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Fax:</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1"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Emergency contact number: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60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607"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Types of rights that require protection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61" w:right="6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type of rights propose for protection is trademark rights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61" w:right="6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Trademark registration information:</w:t>
            </w:r>
          </w:p>
          <w:tbl>
            <w:tblPr>
              <w:tblStyle w:val="Table6"/>
              <w:tblW w:w="103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01"/>
              <w:gridCol w:w="3969"/>
              <w:tblGridChange w:id="0">
                <w:tblGrid>
                  <w:gridCol w:w="6401"/>
                  <w:gridCol w:w="3969"/>
                </w:tblGrid>
              </w:tblGridChange>
            </w:tblGrid>
            <w:tr>
              <w:trPr>
                <w:cantSplit w:val="0"/>
                <w:tblHeader w:val="0"/>
              </w:trPr>
              <w:tc>
                <w:tcPr/>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44" w:right="607"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Registration number:</w:t>
                  </w:r>
                </w:p>
              </w:tc>
              <w:tc>
                <w:tcPr/>
                <w:p w:rsidR="00000000" w:rsidDel="00000000" w:rsidP="00000000" w:rsidRDefault="00000000" w:rsidRPr="00000000" w14:paraId="00000056">
                  <w:pPr>
                    <w:ind w:right="60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Issued date: </w:t>
                  </w:r>
                </w:p>
              </w:tc>
            </w:tr>
            <w:tr>
              <w:trPr>
                <w:cantSplit w:val="0"/>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6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Issued by: Department of Intellectual Property</w:t>
                  </w:r>
                </w:p>
              </w:tc>
              <w:tc>
                <w:tcPr/>
                <w:p w:rsidR="00000000" w:rsidDel="00000000" w:rsidP="00000000" w:rsidRDefault="00000000" w:rsidRPr="00000000" w14:paraId="00000058">
                  <w:pPr>
                    <w:ind w:right="60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Expiry date: </w:t>
                  </w:r>
                  <w:r w:rsidDel="00000000" w:rsidR="00000000" w:rsidRPr="00000000">
                    <w:rPr>
                      <w:rtl w:val="0"/>
                    </w:rPr>
                  </w:r>
                </w:p>
              </w:tc>
            </w:tr>
          </w:tbl>
          <w:p w:rsidR="00000000" w:rsidDel="00000000" w:rsidP="00000000" w:rsidRDefault="00000000" w:rsidRPr="00000000" w14:paraId="00000059">
            <w:pPr>
              <w:ind w:left="426" w:right="60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left="426" w:right="607"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Scope requires protection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161" w:right="60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scope of protection is for the whole country.</w:t>
            </w:r>
          </w:p>
          <w:p w:rsidR="00000000" w:rsidDel="00000000" w:rsidP="00000000" w:rsidRDefault="00000000" w:rsidRPr="00000000" w14:paraId="0000005C">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ind w:left="426"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List of products requested for protection</w:t>
            </w:r>
          </w:p>
          <w:p w:rsidR="00000000" w:rsidDel="00000000" w:rsidP="00000000" w:rsidRDefault="00000000" w:rsidRPr="00000000" w14:paraId="0000005E">
            <w:pPr>
              <w:ind w:left="592"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left="59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list of goods requested for protection is (</w:t>
            </w:r>
            <w:r w:rsidDel="00000000" w:rsidR="00000000" w:rsidRPr="00000000">
              <w:rPr>
                <w:rFonts w:ascii="Arial" w:cs="Arial" w:eastAsia="Arial" w:hAnsi="Arial"/>
                <w:i w:val="1"/>
                <w:sz w:val="20"/>
                <w:szCs w:val="20"/>
                <w:rtl w:val="0"/>
              </w:rPr>
              <w:t xml:space="preserve">the applicant must provide details to help the customs authorities observe and track</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312"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details: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312"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HS product code (10 digits): </w:t>
            </w:r>
          </w:p>
          <w:p w:rsidR="00000000" w:rsidDel="00000000" w:rsidP="00000000" w:rsidRDefault="00000000" w:rsidRPr="00000000" w14:paraId="00000062">
            <w:pPr>
              <w:ind w:left="592"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ind w:left="592"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Appendix (mark x in the box for the type of document attached)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1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 Intellectual Property registration certificate: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1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List of authorized importers and exporters: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1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partner has observed and identified genuine or counterfeit goods;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1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Verifying document the origin of genuine goods (if any):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1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  Power of </w:t>
            </w:r>
            <w:r w:rsidDel="00000000" w:rsidR="00000000" w:rsidRPr="00000000">
              <w:rPr>
                <w:rFonts w:ascii="Arial" w:cs="Arial" w:eastAsia="Arial" w:hAnsi="Arial"/>
                <w:sz w:val="20"/>
                <w:szCs w:val="20"/>
                <w:rtl w:val="0"/>
              </w:rPr>
              <w:t xml:space="preserve">Attorney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Power of Attorney Agreement (original);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31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Agreement to transfer/use intellectual property rights: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31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 Samples, images and models of products. </w:t>
            </w:r>
          </w:p>
          <w:p w:rsidR="00000000" w:rsidDel="00000000" w:rsidP="00000000" w:rsidRDefault="00000000" w:rsidRPr="00000000" w14:paraId="0000006B">
            <w:pPr>
              <w:ind w:left="592"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592"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ind w:left="592"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Therefore, it is proposed to you for proper consideration </w:t>
            </w:r>
          </w:p>
          <w:p w:rsidR="00000000" w:rsidDel="00000000" w:rsidP="00000000" w:rsidRDefault="00000000" w:rsidRPr="00000000" w14:paraId="0000006E">
            <w:pPr>
              <w:ind w:left="592"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592"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left="426"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Applicant’s name, signature and seal</w:t>
            </w:r>
          </w:p>
          <w:p w:rsidR="00000000" w:rsidDel="00000000" w:rsidP="00000000" w:rsidRDefault="00000000" w:rsidRPr="00000000" w14:paraId="00000071">
            <w:pPr>
              <w:ind w:left="426" w:firstLine="0"/>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ind w:left="426" w:firstLine="0"/>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ind w:left="426" w:firstLine="0"/>
              <w:jc w:val="righ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footerReference r:id="rId7" w:type="default"/>
      <w:pgSz w:h="15840" w:w="12240" w:orient="portrait"/>
      <w:pgMar w:bottom="964" w:top="9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Conv_Gotham Book"/>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KENFOX IP &amp; Law Office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info@kenfoxlaw.com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12" w:hanging="360.0000000000001"/>
      </w:pPr>
      <w:rPr>
        <w:rFonts w:ascii="Conv_Gotham Book" w:cs="Conv_Gotham Book" w:eastAsia="Conv_Gotham Book" w:hAnsi="Conv_Gotham Book"/>
        <w:i w:val="1"/>
      </w:rPr>
    </w:lvl>
    <w:lvl w:ilvl="1">
      <w:start w:val="1"/>
      <w:numFmt w:val="bullet"/>
      <w:lvlText w:val="o"/>
      <w:lvlJc w:val="left"/>
      <w:pPr>
        <w:ind w:left="2032" w:hanging="360"/>
      </w:pPr>
      <w:rPr>
        <w:rFonts w:ascii="Courier New" w:cs="Courier New" w:eastAsia="Courier New" w:hAnsi="Courier New"/>
      </w:rPr>
    </w:lvl>
    <w:lvl w:ilvl="2">
      <w:start w:val="1"/>
      <w:numFmt w:val="bullet"/>
      <w:lvlText w:val="▪"/>
      <w:lvlJc w:val="left"/>
      <w:pPr>
        <w:ind w:left="2752" w:hanging="360"/>
      </w:pPr>
      <w:rPr>
        <w:rFonts w:ascii="Noto Sans Symbols" w:cs="Noto Sans Symbols" w:eastAsia="Noto Sans Symbols" w:hAnsi="Noto Sans Symbols"/>
      </w:rPr>
    </w:lvl>
    <w:lvl w:ilvl="3">
      <w:start w:val="1"/>
      <w:numFmt w:val="bullet"/>
      <w:lvlText w:val="●"/>
      <w:lvlJc w:val="left"/>
      <w:pPr>
        <w:ind w:left="3472" w:hanging="360"/>
      </w:pPr>
      <w:rPr>
        <w:rFonts w:ascii="Noto Sans Symbols" w:cs="Noto Sans Symbols" w:eastAsia="Noto Sans Symbols" w:hAnsi="Noto Sans Symbols"/>
      </w:rPr>
    </w:lvl>
    <w:lvl w:ilvl="4">
      <w:start w:val="1"/>
      <w:numFmt w:val="bullet"/>
      <w:lvlText w:val="o"/>
      <w:lvlJc w:val="left"/>
      <w:pPr>
        <w:ind w:left="4192" w:hanging="360"/>
      </w:pPr>
      <w:rPr>
        <w:rFonts w:ascii="Courier New" w:cs="Courier New" w:eastAsia="Courier New" w:hAnsi="Courier New"/>
      </w:rPr>
    </w:lvl>
    <w:lvl w:ilvl="5">
      <w:start w:val="1"/>
      <w:numFmt w:val="bullet"/>
      <w:lvlText w:val="▪"/>
      <w:lvlJc w:val="left"/>
      <w:pPr>
        <w:ind w:left="4912" w:hanging="360"/>
      </w:pPr>
      <w:rPr>
        <w:rFonts w:ascii="Noto Sans Symbols" w:cs="Noto Sans Symbols" w:eastAsia="Noto Sans Symbols" w:hAnsi="Noto Sans Symbols"/>
      </w:rPr>
    </w:lvl>
    <w:lvl w:ilvl="6">
      <w:start w:val="1"/>
      <w:numFmt w:val="bullet"/>
      <w:lvlText w:val="●"/>
      <w:lvlJc w:val="left"/>
      <w:pPr>
        <w:ind w:left="5632" w:hanging="360"/>
      </w:pPr>
      <w:rPr>
        <w:rFonts w:ascii="Noto Sans Symbols" w:cs="Noto Sans Symbols" w:eastAsia="Noto Sans Symbols" w:hAnsi="Noto Sans Symbols"/>
      </w:rPr>
    </w:lvl>
    <w:lvl w:ilvl="7">
      <w:start w:val="1"/>
      <w:numFmt w:val="bullet"/>
      <w:lvlText w:val="o"/>
      <w:lvlJc w:val="left"/>
      <w:pPr>
        <w:ind w:left="6352" w:hanging="360"/>
      </w:pPr>
      <w:rPr>
        <w:rFonts w:ascii="Courier New" w:cs="Courier New" w:eastAsia="Courier New" w:hAnsi="Courier New"/>
      </w:rPr>
    </w:lvl>
    <w:lvl w:ilvl="8">
      <w:start w:val="1"/>
      <w:numFmt w:val="bullet"/>
      <w:lvlText w:val="▪"/>
      <w:lvlJc w:val="left"/>
      <w:pPr>
        <w:ind w:left="7072" w:hanging="360"/>
      </w:pPr>
      <w:rPr>
        <w:rFonts w:ascii="Noto Sans Symbols" w:cs="Noto Sans Symbols" w:eastAsia="Noto Sans Symbols" w:hAnsi="Noto Sans Symbols"/>
      </w:rPr>
    </w:lvl>
  </w:abstractNum>
  <w:abstractNum w:abstractNumId="2">
    <w:lvl w:ilvl="0">
      <w:start w:val="5795"/>
      <w:numFmt w:val="bullet"/>
      <w:lvlText w:val="-"/>
      <w:lvlJc w:val="left"/>
      <w:pPr>
        <w:ind w:left="1146" w:hanging="360"/>
      </w:pPr>
      <w:rPr>
        <w:rFonts w:ascii="Times New Roman" w:cs="Times New Roman" w:eastAsia="Times New Roman" w:hAnsi="Times New Roman"/>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3">
    <w:lvl w:ilvl="0">
      <w:start w:val="579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30" w:hanging="360"/>
      </w:pPr>
      <w:rPr>
        <w:rFonts w:ascii="Conv_Gotham Book" w:cs="Conv_Gotham Book" w:eastAsia="Conv_Gotham Book" w:hAnsi="Conv_Gotham Book"/>
        <w:i w:val="1"/>
      </w:rPr>
    </w:lvl>
    <w:lvl w:ilvl="1">
      <w:start w:val="1"/>
      <w:numFmt w:val="bullet"/>
      <w:lvlText w:val="o"/>
      <w:lvlJc w:val="left"/>
      <w:pPr>
        <w:ind w:left="1750" w:hanging="360"/>
      </w:pPr>
      <w:rPr>
        <w:rFonts w:ascii="Courier New" w:cs="Courier New" w:eastAsia="Courier New" w:hAnsi="Courier New"/>
      </w:rPr>
    </w:lvl>
    <w:lvl w:ilvl="2">
      <w:start w:val="1"/>
      <w:numFmt w:val="bullet"/>
      <w:lvlText w:val="▪"/>
      <w:lvlJc w:val="left"/>
      <w:pPr>
        <w:ind w:left="2470" w:hanging="360"/>
      </w:pPr>
      <w:rPr>
        <w:rFonts w:ascii="Noto Sans Symbols" w:cs="Noto Sans Symbols" w:eastAsia="Noto Sans Symbols" w:hAnsi="Noto Sans Symbols"/>
      </w:rPr>
    </w:lvl>
    <w:lvl w:ilvl="3">
      <w:start w:val="1"/>
      <w:numFmt w:val="bullet"/>
      <w:lvlText w:val="●"/>
      <w:lvlJc w:val="left"/>
      <w:pPr>
        <w:ind w:left="3190" w:hanging="360"/>
      </w:pPr>
      <w:rPr>
        <w:rFonts w:ascii="Noto Sans Symbols" w:cs="Noto Sans Symbols" w:eastAsia="Noto Sans Symbols" w:hAnsi="Noto Sans Symbols"/>
      </w:rPr>
    </w:lvl>
    <w:lvl w:ilvl="4">
      <w:start w:val="1"/>
      <w:numFmt w:val="bullet"/>
      <w:lvlText w:val="o"/>
      <w:lvlJc w:val="left"/>
      <w:pPr>
        <w:ind w:left="3910" w:hanging="360"/>
      </w:pPr>
      <w:rPr>
        <w:rFonts w:ascii="Courier New" w:cs="Courier New" w:eastAsia="Courier New" w:hAnsi="Courier New"/>
      </w:rPr>
    </w:lvl>
    <w:lvl w:ilvl="5">
      <w:start w:val="1"/>
      <w:numFmt w:val="bullet"/>
      <w:lvlText w:val="▪"/>
      <w:lvlJc w:val="left"/>
      <w:pPr>
        <w:ind w:left="4630" w:hanging="360"/>
      </w:pPr>
      <w:rPr>
        <w:rFonts w:ascii="Noto Sans Symbols" w:cs="Noto Sans Symbols" w:eastAsia="Noto Sans Symbols" w:hAnsi="Noto Sans Symbols"/>
      </w:rPr>
    </w:lvl>
    <w:lvl w:ilvl="6">
      <w:start w:val="1"/>
      <w:numFmt w:val="bullet"/>
      <w:lvlText w:val="●"/>
      <w:lvlJc w:val="left"/>
      <w:pPr>
        <w:ind w:left="5350" w:hanging="360"/>
      </w:pPr>
      <w:rPr>
        <w:rFonts w:ascii="Noto Sans Symbols" w:cs="Noto Sans Symbols" w:eastAsia="Noto Sans Symbols" w:hAnsi="Noto Sans Symbols"/>
      </w:rPr>
    </w:lvl>
    <w:lvl w:ilvl="7">
      <w:start w:val="1"/>
      <w:numFmt w:val="bullet"/>
      <w:lvlText w:val="o"/>
      <w:lvlJc w:val="left"/>
      <w:pPr>
        <w:ind w:left="6070" w:hanging="360"/>
      </w:pPr>
      <w:rPr>
        <w:rFonts w:ascii="Courier New" w:cs="Courier New" w:eastAsia="Courier New" w:hAnsi="Courier New"/>
      </w:rPr>
    </w:lvl>
    <w:lvl w:ilvl="8">
      <w:start w:val="1"/>
      <w:numFmt w:val="bullet"/>
      <w:lvlText w:val="▪"/>
      <w:lvlJc w:val="left"/>
      <w:pPr>
        <w:ind w:left="679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onv_Gotham Book" w:cs="Conv_Gotham Book" w:eastAsia="Conv_Gotham Book" w:hAnsi="Conv_Gotham Book"/>
        <w:i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8427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842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84273"/>
    <w:pPr>
      <w:ind w:left="720"/>
      <w:contextualSpacing w:val="1"/>
    </w:pPr>
  </w:style>
  <w:style w:type="paragraph" w:styleId="NormalWeb">
    <w:name w:val="Normal (Web)"/>
    <w:basedOn w:val="Normal"/>
    <w:uiPriority w:val="99"/>
    <w:semiHidden w:val="1"/>
    <w:unhideWhenUsed w:val="1"/>
    <w:rsid w:val="00F84273"/>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F842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84273"/>
  </w:style>
  <w:style w:type="paragraph" w:styleId="Footer">
    <w:name w:val="footer"/>
    <w:basedOn w:val="Normal"/>
    <w:link w:val="FooterChar"/>
    <w:uiPriority w:val="99"/>
    <w:unhideWhenUsed w:val="1"/>
    <w:rsid w:val="00F842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4273"/>
  </w:style>
  <w:style w:type="character" w:styleId="Hyperlink">
    <w:name w:val="Hyperlink"/>
    <w:basedOn w:val="DefaultParagraphFont"/>
    <w:uiPriority w:val="99"/>
    <w:unhideWhenUsed w:val="1"/>
    <w:rsid w:val="00F84273"/>
    <w:rPr>
      <w:color w:val="0563c1" w:themeColor="hyperlink"/>
      <w:u w:val="single"/>
    </w:rPr>
  </w:style>
  <w:style w:type="character" w:styleId="UnresolvedMention">
    <w:name w:val="Unresolved Mention"/>
    <w:basedOn w:val="DefaultParagraphFont"/>
    <w:uiPriority w:val="99"/>
    <w:semiHidden w:val="1"/>
    <w:unhideWhenUsed w:val="1"/>
    <w:rsid w:val="00F8427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info@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1X5WH7PT0uVyPfaMfhv8NJP79w==">AMUW2mXnBcEPytWZhQEfIvjMJeSheW4Et3i16zSKj6i+9Z3HIm52IFgFrW3qcHQAuG5zmy0+dLiqb2+NwtujBo2MlQhT68R3rs1YRX25P15l113td3UXXv8=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2023-02-15T08:50:00Z</dcterms:created>
  <dc:creator>Quan Nguyen Vu</dc:creator>
</cp:coreProperties>
</file>